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9" w:rsidRPr="00732BC8" w:rsidRDefault="00D16059" w:rsidP="009B3CCD">
      <w:pPr>
        <w:spacing w:after="120"/>
        <w:jc w:val="center"/>
        <w:rPr>
          <w:b/>
          <w:szCs w:val="24"/>
          <w:lang w:eastAsia="lv-LV"/>
        </w:rPr>
      </w:pPr>
      <w:r w:rsidRPr="00732BC8">
        <w:rPr>
          <w:b/>
          <w:szCs w:val="24"/>
          <w:lang w:eastAsia="lv-LV"/>
        </w:rPr>
        <w:t xml:space="preserve">Ministru kabineta </w:t>
      </w:r>
      <w:r w:rsidR="009B3CCD" w:rsidRPr="00732BC8">
        <w:rPr>
          <w:b/>
          <w:szCs w:val="24"/>
          <w:lang w:eastAsia="lv-LV"/>
        </w:rPr>
        <w:t>noteikumu</w:t>
      </w:r>
      <w:r w:rsidRPr="00732BC8">
        <w:rPr>
          <w:b/>
          <w:szCs w:val="24"/>
          <w:lang w:eastAsia="lv-LV"/>
        </w:rPr>
        <w:t xml:space="preserve"> projekta </w:t>
      </w:r>
      <w:r w:rsidR="009B3CCD" w:rsidRPr="00732BC8">
        <w:rPr>
          <w:b/>
          <w:szCs w:val="24"/>
          <w:lang w:eastAsia="lv-LV"/>
        </w:rPr>
        <w:t>„</w:t>
      </w:r>
      <w:r w:rsidR="009B3CCD" w:rsidRPr="00732BC8">
        <w:rPr>
          <w:b/>
          <w:bCs/>
          <w:szCs w:val="24"/>
        </w:rPr>
        <w:t>Grozījumi Ministru kabineta 2010.gada</w:t>
      </w:r>
      <w:r w:rsidR="00E04FCC" w:rsidRPr="00732BC8">
        <w:rPr>
          <w:b/>
          <w:bCs/>
          <w:szCs w:val="24"/>
        </w:rPr>
        <w:t xml:space="preserve"> 5.maija noteikumos Nr.</w:t>
      </w:r>
      <w:r w:rsidR="009B3CCD" w:rsidRPr="00732BC8">
        <w:rPr>
          <w:b/>
          <w:bCs/>
          <w:szCs w:val="24"/>
        </w:rPr>
        <w:t>413</w:t>
      </w:r>
      <w:r w:rsidRPr="00732BC8">
        <w:rPr>
          <w:b/>
          <w:bCs/>
          <w:szCs w:val="24"/>
        </w:rPr>
        <w:t xml:space="preserve"> „</w:t>
      </w:r>
      <w:r w:rsidR="009B3CCD" w:rsidRPr="00732BC8">
        <w:rPr>
          <w:b/>
          <w:bCs/>
          <w:szCs w:val="24"/>
        </w:rPr>
        <w:t xml:space="preserve">Noteikumi par gada publiskajiem pārskatiem”” </w:t>
      </w:r>
      <w:r w:rsidRPr="00732BC8">
        <w:rPr>
          <w:b/>
          <w:szCs w:val="24"/>
          <w:lang w:eastAsia="lv-LV"/>
        </w:rPr>
        <w:t>sākotnējās ietekmes novērtējuma ziņojums (anotācija)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351"/>
      </w:tblGrid>
      <w:tr w:rsidR="00D16059" w:rsidRPr="005B4042" w:rsidTr="00954092">
        <w:tc>
          <w:tcPr>
            <w:tcW w:w="9287" w:type="dxa"/>
            <w:gridSpan w:val="3"/>
          </w:tcPr>
          <w:p w:rsidR="00D16059" w:rsidRPr="00732BC8" w:rsidRDefault="00D16059" w:rsidP="00954092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D16059" w:rsidRPr="005B4042" w:rsidTr="00954092">
        <w:trPr>
          <w:trHeight w:val="1944"/>
        </w:trPr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Pamatojums</w:t>
            </w:r>
          </w:p>
        </w:tc>
        <w:tc>
          <w:tcPr>
            <w:tcW w:w="5351" w:type="dxa"/>
          </w:tcPr>
          <w:p w:rsidR="00D16059" w:rsidRPr="00732BC8" w:rsidRDefault="00D16059" w:rsidP="00954092">
            <w:pPr>
              <w:tabs>
                <w:tab w:val="left" w:pos="354"/>
              </w:tabs>
              <w:ind w:left="33"/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proofErr w:type="spellStart"/>
            <w:r w:rsidRPr="004D5B1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 ieviešanas kārtības likuma 30.panta ceturtā daļa nosaka, ka Ministru kabinets (turpmāk – MK) nodrošina, lai to MK </w:t>
            </w:r>
            <w:r w:rsidR="009B3CCD" w:rsidRPr="00732BC8">
              <w:rPr>
                <w:rFonts w:eastAsia="Times New Roman"/>
                <w:iCs/>
                <w:szCs w:val="24"/>
                <w:lang w:eastAsia="lv-LV"/>
              </w:rPr>
              <w:t>noteikumu</w:t>
            </w:r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 projekti, kuri ir būtiski tiesiskās noteiktības nodrošināšanai un kuros ietvertie grozījumi ir saistīti ar</w:t>
            </w:r>
            <w:r w:rsidRPr="004D5B18">
              <w:rPr>
                <w:rFonts w:eastAsia="Times New Roman"/>
                <w:i/>
                <w:iCs/>
                <w:szCs w:val="24"/>
                <w:lang w:eastAsia="lv-LV"/>
              </w:rPr>
              <w:t xml:space="preserve"> </w:t>
            </w:r>
            <w:proofErr w:type="spellStart"/>
            <w:r w:rsidRPr="004D5B1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 ieviešanu Latvijas Republikā, tiktu sagatavoti un izdoti MK noteiktajā kārtībā un termiņos, un ievēro nosacījumu, ka attiecīgie dokumenti stājas spēkā </w:t>
            </w:r>
            <w:proofErr w:type="spellStart"/>
            <w:r w:rsidRPr="004D5B1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 ieviešanas dienā.</w:t>
            </w:r>
          </w:p>
          <w:p w:rsidR="009E64BB" w:rsidRDefault="00D16059" w:rsidP="009B3CCD">
            <w:pPr>
              <w:tabs>
                <w:tab w:val="left" w:pos="354"/>
              </w:tabs>
              <w:ind w:left="33"/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MK 2012.gada 27.jūnija rīkojuma Nr.282 „Par „Koncepciju par normatīvo aktu sakārtošanu saistībā ar eiro ieviešanu Latvijā”” 7.1.apakšpunktā dotais uzdevums nosaka visām ministrijām atbilstoši kompetencei sagatavot MK </w:t>
            </w:r>
            <w:r w:rsidR="009B3CCD" w:rsidRPr="00732BC8">
              <w:rPr>
                <w:rFonts w:eastAsia="Times New Roman"/>
                <w:iCs/>
                <w:szCs w:val="24"/>
                <w:lang w:eastAsia="lv-LV"/>
              </w:rPr>
              <w:t>noteikumu</w:t>
            </w:r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 projektus, kas ir būtiski tiesiskās noteiktības nodrošināšanai, un līdz 2013.gada 1.oktobrim iesniegt tos noteiktā kārtībā MK.</w:t>
            </w:r>
          </w:p>
          <w:p w:rsidR="009E64BB" w:rsidRPr="00732BC8" w:rsidRDefault="009E64BB" w:rsidP="009B3CCD">
            <w:pPr>
              <w:tabs>
                <w:tab w:val="left" w:pos="354"/>
              </w:tabs>
              <w:ind w:left="33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iCs/>
                <w:szCs w:val="24"/>
                <w:lang w:eastAsia="lv-LV"/>
              </w:rPr>
              <w:t xml:space="preserve">Latvijas Nacionālā </w:t>
            </w:r>
            <w:proofErr w:type="spellStart"/>
            <w:r w:rsidRPr="00DD0812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iCs/>
                <w:szCs w:val="24"/>
                <w:lang w:eastAsia="lv-LV"/>
              </w:rPr>
              <w:t xml:space="preserve"> ieviešanas plāna (apstiprināts ar Ministru kabineta 2013.gada 4.aprīļa rīk</w:t>
            </w:r>
            <w:r w:rsidR="00505B2F">
              <w:rPr>
                <w:rFonts w:eastAsia="Times New Roman"/>
                <w:iCs/>
                <w:szCs w:val="24"/>
                <w:lang w:eastAsia="lv-LV"/>
              </w:rPr>
              <w:t>ojumu Nr.136) 1.pielikuma J2.2.2</w:t>
            </w:r>
            <w:r>
              <w:rPr>
                <w:rFonts w:eastAsia="Times New Roman"/>
                <w:iCs/>
                <w:szCs w:val="24"/>
                <w:lang w:eastAsia="lv-LV"/>
              </w:rPr>
              <w:t xml:space="preserve"> pasākums.</w:t>
            </w:r>
          </w:p>
        </w:tc>
      </w:tr>
      <w:tr w:rsidR="00D16059" w:rsidRPr="005B4042" w:rsidTr="00954092"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5351" w:type="dxa"/>
          </w:tcPr>
          <w:p w:rsidR="00D16059" w:rsidRPr="00732BC8" w:rsidRDefault="00D16059" w:rsidP="00E37480">
            <w:pPr>
              <w:pStyle w:val="naisnod"/>
              <w:jc w:val="both"/>
              <w:rPr>
                <w:bCs/>
                <w:iCs/>
              </w:rPr>
            </w:pPr>
            <w:r w:rsidRPr="00732BC8">
              <w:rPr>
                <w:bCs/>
                <w:iCs/>
              </w:rPr>
              <w:t xml:space="preserve">Pašreiz MK </w:t>
            </w:r>
            <w:r w:rsidR="009B3CCD" w:rsidRPr="00732BC8">
              <w:rPr>
                <w:bCs/>
              </w:rPr>
              <w:t>2010.gada 5.maija</w:t>
            </w:r>
            <w:r w:rsidRPr="00732BC8">
              <w:rPr>
                <w:bCs/>
              </w:rPr>
              <w:t xml:space="preserve"> </w:t>
            </w:r>
            <w:r w:rsidR="009B3CCD" w:rsidRPr="00732BC8">
              <w:rPr>
                <w:bCs/>
              </w:rPr>
              <w:t>noteikum</w:t>
            </w:r>
            <w:r w:rsidR="00B36359" w:rsidRPr="00732BC8">
              <w:rPr>
                <w:bCs/>
              </w:rPr>
              <w:t>u</w:t>
            </w:r>
            <w:r w:rsidR="009B3CCD" w:rsidRPr="00732BC8">
              <w:rPr>
                <w:bCs/>
              </w:rPr>
              <w:t xml:space="preserve"> Nr.413</w:t>
            </w:r>
            <w:r w:rsidRPr="00732BC8">
              <w:rPr>
                <w:bCs/>
              </w:rPr>
              <w:t xml:space="preserve"> „</w:t>
            </w:r>
            <w:r w:rsidR="009B3CCD" w:rsidRPr="00732BC8">
              <w:rPr>
                <w:bCs/>
              </w:rPr>
              <w:t>Noteikumi par gada publiskajiem pārskatiem</w:t>
            </w:r>
            <w:r w:rsidRPr="00732BC8">
              <w:rPr>
                <w:bCs/>
              </w:rPr>
              <w:t xml:space="preserve">” </w:t>
            </w:r>
            <w:r w:rsidRPr="00732BC8">
              <w:rPr>
                <w:bCs/>
                <w:iCs/>
              </w:rPr>
              <w:t xml:space="preserve">(turpmāk – </w:t>
            </w:r>
            <w:r w:rsidR="009B3CCD" w:rsidRPr="00732BC8">
              <w:rPr>
                <w:bCs/>
                <w:iCs/>
              </w:rPr>
              <w:t>noteikumi Nr.413</w:t>
            </w:r>
            <w:r w:rsidR="005C2D74">
              <w:rPr>
                <w:bCs/>
                <w:iCs/>
              </w:rPr>
              <w:t xml:space="preserve">) </w:t>
            </w:r>
            <w:r w:rsidRPr="00732BC8">
              <w:rPr>
                <w:bCs/>
                <w:iCs/>
              </w:rPr>
              <w:t>pielikumā „</w:t>
            </w:r>
            <w:bookmarkStart w:id="0" w:name="bkm0"/>
            <w:r w:rsidR="009B3CCD" w:rsidRPr="00732BC8">
              <w:t>Valsts budžeta finansējums un tā izlietojums</w:t>
            </w:r>
            <w:bookmarkEnd w:id="0"/>
            <w:r w:rsidRPr="00732BC8">
              <w:rPr>
                <w:bCs/>
                <w:iCs/>
              </w:rPr>
              <w:t xml:space="preserve">” minētie </w:t>
            </w:r>
            <w:r w:rsidR="009B3CCD" w:rsidRPr="00732BC8">
              <w:rPr>
                <w:bCs/>
                <w:iCs/>
              </w:rPr>
              <w:t>finansiālie</w:t>
            </w:r>
            <w:r w:rsidRPr="00732BC8">
              <w:rPr>
                <w:bCs/>
                <w:iCs/>
              </w:rPr>
              <w:t xml:space="preserve"> rādītāj</w:t>
            </w:r>
            <w:r w:rsidR="00B36359" w:rsidRPr="00732BC8">
              <w:rPr>
                <w:bCs/>
                <w:iCs/>
              </w:rPr>
              <w:t>i</w:t>
            </w:r>
            <w:r w:rsidRPr="00732BC8">
              <w:rPr>
                <w:bCs/>
                <w:iCs/>
              </w:rPr>
              <w:t xml:space="preserve"> </w:t>
            </w:r>
            <w:r w:rsidR="009B3CCD" w:rsidRPr="00732BC8">
              <w:rPr>
                <w:bCs/>
                <w:iCs/>
              </w:rPr>
              <w:t xml:space="preserve">ir </w:t>
            </w:r>
            <w:r w:rsidR="00C9782D" w:rsidRPr="00732BC8">
              <w:rPr>
                <w:bCs/>
                <w:iCs/>
              </w:rPr>
              <w:t>jānor</w:t>
            </w:r>
            <w:r w:rsidR="00C9782D">
              <w:rPr>
                <w:bCs/>
                <w:iCs/>
              </w:rPr>
              <w:t>ā</w:t>
            </w:r>
            <w:r w:rsidR="00C9782D" w:rsidRPr="00732BC8">
              <w:rPr>
                <w:bCs/>
                <w:iCs/>
              </w:rPr>
              <w:t xml:space="preserve">da </w:t>
            </w:r>
            <w:r w:rsidRPr="00732BC8">
              <w:rPr>
                <w:bCs/>
                <w:iCs/>
              </w:rPr>
              <w:t xml:space="preserve">latos. </w:t>
            </w:r>
            <w:r w:rsidR="00B36359" w:rsidRPr="00732BC8">
              <w:rPr>
                <w:bCs/>
                <w:iCs/>
              </w:rPr>
              <w:t xml:space="preserve">Deklarācijas par Valda </w:t>
            </w:r>
            <w:proofErr w:type="spellStart"/>
            <w:r w:rsidR="00B36359" w:rsidRPr="00732BC8">
              <w:rPr>
                <w:bCs/>
                <w:iCs/>
              </w:rPr>
              <w:t>Dombrovska</w:t>
            </w:r>
            <w:proofErr w:type="spellEnd"/>
            <w:r w:rsidR="00B36359" w:rsidRPr="00732BC8">
              <w:rPr>
                <w:bCs/>
                <w:iCs/>
              </w:rPr>
              <w:t xml:space="preserve"> vadītā Ministru kabineta iecerēto darbību II sadaļas 1.punkts paredz, ka Latvija plāno iekļauties </w:t>
            </w:r>
            <w:proofErr w:type="spellStart"/>
            <w:r w:rsidR="00C9782D">
              <w:rPr>
                <w:bCs/>
                <w:i/>
                <w:iCs/>
              </w:rPr>
              <w:t>euro</w:t>
            </w:r>
            <w:proofErr w:type="spellEnd"/>
            <w:r w:rsidR="00C9782D" w:rsidRPr="00732BC8">
              <w:rPr>
                <w:bCs/>
                <w:iCs/>
              </w:rPr>
              <w:t xml:space="preserve"> </w:t>
            </w:r>
            <w:r w:rsidR="00B36359" w:rsidRPr="00732BC8">
              <w:rPr>
                <w:bCs/>
                <w:iCs/>
              </w:rPr>
              <w:t xml:space="preserve">zonā 2014.gadā.  </w:t>
            </w:r>
            <w:proofErr w:type="spellStart"/>
            <w:r w:rsidR="00B36359" w:rsidRPr="004D5B18">
              <w:rPr>
                <w:bCs/>
                <w:i/>
                <w:iCs/>
              </w:rPr>
              <w:t>Euro</w:t>
            </w:r>
            <w:proofErr w:type="spellEnd"/>
            <w:r w:rsidR="00B36359" w:rsidRPr="00732BC8">
              <w:rPr>
                <w:bCs/>
                <w:iCs/>
              </w:rPr>
              <w:t xml:space="preserve"> ieviešanas kārtības likuma 30.panta pirmā daļa paredz, ka nepieciešams sagatavot to tiesību aktu grozījumu projektus, kurus nepieciešams pielāgot </w:t>
            </w:r>
            <w:proofErr w:type="spellStart"/>
            <w:r w:rsidR="00B36359" w:rsidRPr="004D5B18">
              <w:rPr>
                <w:bCs/>
                <w:i/>
                <w:iCs/>
              </w:rPr>
              <w:t>euro</w:t>
            </w:r>
            <w:proofErr w:type="spellEnd"/>
            <w:r w:rsidR="00B36359" w:rsidRPr="004D5B18">
              <w:rPr>
                <w:bCs/>
                <w:i/>
                <w:iCs/>
              </w:rPr>
              <w:t xml:space="preserve"> </w:t>
            </w:r>
            <w:r w:rsidR="00B36359" w:rsidRPr="00732BC8">
              <w:rPr>
                <w:bCs/>
                <w:iCs/>
              </w:rPr>
              <w:t xml:space="preserve">ieviešanai. Ņemot vērā, ka pēc pievienošanās </w:t>
            </w:r>
            <w:proofErr w:type="spellStart"/>
            <w:r w:rsidR="00C9782D">
              <w:rPr>
                <w:bCs/>
                <w:i/>
                <w:iCs/>
              </w:rPr>
              <w:t>euro</w:t>
            </w:r>
            <w:proofErr w:type="spellEnd"/>
            <w:r w:rsidR="00C9782D" w:rsidRPr="00732BC8">
              <w:rPr>
                <w:bCs/>
                <w:iCs/>
              </w:rPr>
              <w:t xml:space="preserve"> </w:t>
            </w:r>
            <w:r w:rsidR="00B36359" w:rsidRPr="00732BC8">
              <w:rPr>
                <w:bCs/>
                <w:iCs/>
              </w:rPr>
              <w:t xml:space="preserve">zonai, likumīgais maksāšanas līdzeklis būs </w:t>
            </w:r>
            <w:proofErr w:type="spellStart"/>
            <w:r w:rsidR="00B36359" w:rsidRPr="004D5B18">
              <w:rPr>
                <w:bCs/>
                <w:i/>
                <w:iCs/>
              </w:rPr>
              <w:t>euro</w:t>
            </w:r>
            <w:proofErr w:type="spellEnd"/>
            <w:r w:rsidR="00B36359" w:rsidRPr="00732BC8">
              <w:rPr>
                <w:bCs/>
                <w:iCs/>
              </w:rPr>
              <w:t xml:space="preserve">, nevis lats, ir </w:t>
            </w:r>
            <w:r w:rsidRPr="00732BC8">
              <w:rPr>
                <w:bCs/>
                <w:iCs/>
              </w:rPr>
              <w:t xml:space="preserve">nepieciešams veikt grozījumus </w:t>
            </w:r>
            <w:r w:rsidR="009B3CCD" w:rsidRPr="00732BC8">
              <w:rPr>
                <w:bCs/>
                <w:iCs/>
              </w:rPr>
              <w:t>noteikumos Nr.413</w:t>
            </w:r>
            <w:r w:rsidRPr="00732BC8">
              <w:rPr>
                <w:bCs/>
                <w:iCs/>
              </w:rPr>
              <w:t xml:space="preserve"> un </w:t>
            </w:r>
            <w:r w:rsidR="00B36359" w:rsidRPr="00732BC8">
              <w:rPr>
                <w:bCs/>
                <w:iCs/>
              </w:rPr>
              <w:t xml:space="preserve">aizstāt atsauces uz latiem ar atsaucēm uz </w:t>
            </w:r>
            <w:proofErr w:type="spellStart"/>
            <w:r w:rsidR="00B36359" w:rsidRPr="004D5B18">
              <w:rPr>
                <w:bCs/>
                <w:i/>
                <w:iCs/>
              </w:rPr>
              <w:t>euro</w:t>
            </w:r>
            <w:proofErr w:type="spellEnd"/>
            <w:r w:rsidR="00B36359" w:rsidRPr="00732BC8">
              <w:rPr>
                <w:bCs/>
                <w:iCs/>
              </w:rPr>
              <w:t xml:space="preserve">, kā arī noteikt regulējumu pārskata gatavošanai par 2013.gadu. </w:t>
            </w:r>
          </w:p>
        </w:tc>
      </w:tr>
      <w:tr w:rsidR="00D16059" w:rsidRPr="005B4042" w:rsidTr="00954092"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5351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Projekts šo jomu neskar.</w:t>
            </w:r>
          </w:p>
        </w:tc>
      </w:tr>
      <w:tr w:rsidR="00D16059" w:rsidRPr="005B4042" w:rsidTr="00954092"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4.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5351" w:type="dxa"/>
          </w:tcPr>
          <w:p w:rsidR="00D16059" w:rsidRPr="00732BC8" w:rsidRDefault="009B3CCD" w:rsidP="00954092">
            <w:pPr>
              <w:jc w:val="both"/>
              <w:rPr>
                <w:rFonts w:eastAsia="Times New Roman"/>
                <w:bCs/>
                <w:iCs/>
                <w:szCs w:val="24"/>
                <w:lang w:eastAsia="lv-LV"/>
              </w:rPr>
            </w:pPr>
            <w:r w:rsidRPr="00732BC8">
              <w:rPr>
                <w:rFonts w:eastAsia="Times New Roman"/>
                <w:bCs/>
                <w:iCs/>
                <w:szCs w:val="24"/>
                <w:lang w:eastAsia="lv-LV"/>
              </w:rPr>
              <w:t>Noteikumu</w:t>
            </w:r>
            <w:r w:rsidR="00D16059" w:rsidRPr="00732BC8">
              <w:rPr>
                <w:rFonts w:eastAsia="Times New Roman"/>
                <w:bCs/>
                <w:iCs/>
                <w:szCs w:val="24"/>
                <w:lang w:eastAsia="lv-LV"/>
              </w:rPr>
              <w:t xml:space="preserve"> projekts paredz veikt tehniskos precizējumus, lai nodrošinātu, ka</w:t>
            </w:r>
            <w:r w:rsidR="00C67951">
              <w:rPr>
                <w:rFonts w:eastAsia="Times New Roman"/>
                <w:bCs/>
                <w:iCs/>
                <w:szCs w:val="24"/>
                <w:lang w:eastAsia="lv-LV"/>
              </w:rPr>
              <w:t xml:space="preserve"> noteikumu</w:t>
            </w:r>
            <w:r w:rsidRPr="00732BC8">
              <w:rPr>
                <w:rFonts w:eastAsia="Times New Roman"/>
                <w:bCs/>
                <w:iCs/>
                <w:szCs w:val="24"/>
                <w:lang w:eastAsia="lv-LV"/>
              </w:rPr>
              <w:t xml:space="preserve"> Nr.413</w:t>
            </w:r>
            <w:r w:rsidR="00D16059" w:rsidRPr="00732BC8">
              <w:rPr>
                <w:rFonts w:eastAsia="Times New Roman"/>
                <w:bCs/>
                <w:iCs/>
                <w:szCs w:val="24"/>
                <w:lang w:eastAsia="lv-LV"/>
              </w:rPr>
              <w:t xml:space="preserve"> no</w:t>
            </w:r>
            <w:r w:rsidR="00F14E74" w:rsidRPr="00732BC8">
              <w:rPr>
                <w:rFonts w:eastAsia="Times New Roman"/>
                <w:bCs/>
                <w:iCs/>
                <w:szCs w:val="24"/>
                <w:lang w:eastAsia="lv-LV"/>
              </w:rPr>
              <w:t>rmas nesatur atsauci uz latiem</w:t>
            </w:r>
            <w:r w:rsidR="00B36359" w:rsidRPr="00732BC8">
              <w:rPr>
                <w:rFonts w:eastAsia="Times New Roman"/>
                <w:bCs/>
                <w:iCs/>
                <w:szCs w:val="24"/>
                <w:lang w:eastAsia="lv-LV"/>
              </w:rPr>
              <w:t>,</w:t>
            </w:r>
            <w:r w:rsidR="00F14E74" w:rsidRPr="00732BC8">
              <w:rPr>
                <w:rFonts w:eastAsia="Times New Roman"/>
                <w:bCs/>
                <w:iCs/>
                <w:szCs w:val="24"/>
                <w:lang w:eastAsia="lv-LV"/>
              </w:rPr>
              <w:t xml:space="preserve"> un nosaka </w:t>
            </w:r>
            <w:proofErr w:type="spellStart"/>
            <w:r w:rsidR="00C9782D">
              <w:rPr>
                <w:rFonts w:eastAsia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C9782D" w:rsidRPr="00732BC8">
              <w:rPr>
                <w:rFonts w:eastAsia="Times New Roman"/>
                <w:bCs/>
                <w:iCs/>
                <w:szCs w:val="24"/>
                <w:lang w:eastAsia="lv-LV"/>
              </w:rPr>
              <w:t xml:space="preserve"> </w:t>
            </w:r>
            <w:r w:rsidR="00F14E74" w:rsidRPr="00732BC8">
              <w:rPr>
                <w:rFonts w:eastAsia="Times New Roman"/>
                <w:bCs/>
                <w:iCs/>
                <w:szCs w:val="24"/>
                <w:lang w:eastAsia="lv-LV"/>
              </w:rPr>
              <w:t>ieviešanas pāreja perioda nosacījumus.</w:t>
            </w:r>
          </w:p>
          <w:p w:rsidR="00D16059" w:rsidRPr="00732BC8" w:rsidRDefault="009B3CCD" w:rsidP="009B3CCD">
            <w:pPr>
              <w:jc w:val="both"/>
              <w:rPr>
                <w:iCs/>
                <w:szCs w:val="24"/>
              </w:rPr>
            </w:pPr>
            <w:r w:rsidRPr="00732BC8">
              <w:rPr>
                <w:rFonts w:eastAsia="Times New Roman"/>
                <w:bCs/>
                <w:iCs/>
                <w:szCs w:val="24"/>
                <w:lang w:eastAsia="lv-LV"/>
              </w:rPr>
              <w:t>Noteikumu</w:t>
            </w:r>
            <w:r w:rsidR="00D16059" w:rsidRPr="00732BC8">
              <w:rPr>
                <w:rFonts w:eastAsia="Times New Roman"/>
                <w:bCs/>
                <w:iCs/>
                <w:szCs w:val="24"/>
                <w:lang w:eastAsia="lv-LV"/>
              </w:rPr>
              <w:t xml:space="preserve"> projekts paredz </w:t>
            </w:r>
            <w:r w:rsidR="00C67951">
              <w:rPr>
                <w:rFonts w:eastAsia="Arial Unicode MS"/>
                <w:szCs w:val="24"/>
              </w:rPr>
              <w:t>aizstāt noteikumu</w:t>
            </w:r>
            <w:r w:rsidRPr="00732BC8">
              <w:rPr>
                <w:rFonts w:eastAsia="Arial Unicode MS"/>
                <w:szCs w:val="24"/>
              </w:rPr>
              <w:t xml:space="preserve"> Nr.413</w:t>
            </w:r>
            <w:r w:rsidR="005C2D74">
              <w:rPr>
                <w:rFonts w:eastAsia="Arial Unicode MS"/>
                <w:szCs w:val="24"/>
              </w:rPr>
              <w:t xml:space="preserve"> </w:t>
            </w:r>
            <w:r w:rsidR="00D16059" w:rsidRPr="00732BC8">
              <w:rPr>
                <w:rFonts w:eastAsia="Arial Unicode MS"/>
                <w:szCs w:val="24"/>
              </w:rPr>
              <w:t xml:space="preserve">pielikumā </w:t>
            </w:r>
            <w:r w:rsidR="00732BC8" w:rsidRPr="00732BC8">
              <w:rPr>
                <w:rFonts w:eastAsia="Arial Unicode MS"/>
                <w:szCs w:val="24"/>
              </w:rPr>
              <w:t>vārdu „lati</w:t>
            </w:r>
            <w:r w:rsidRPr="00732BC8">
              <w:rPr>
                <w:rFonts w:eastAsia="Arial Unicode MS"/>
                <w:szCs w:val="24"/>
              </w:rPr>
              <w:t xml:space="preserve">” </w:t>
            </w:r>
            <w:r w:rsidR="00732BC8" w:rsidRPr="00732BC8">
              <w:rPr>
                <w:rFonts w:eastAsia="Arial Unicode MS"/>
                <w:szCs w:val="24"/>
              </w:rPr>
              <w:t xml:space="preserve">(attiecīgajā locījumā) </w:t>
            </w:r>
            <w:r w:rsidRPr="00732BC8">
              <w:rPr>
                <w:rFonts w:eastAsia="Arial Unicode MS"/>
                <w:szCs w:val="24"/>
              </w:rPr>
              <w:t>ar vārdu „</w:t>
            </w:r>
            <w:proofErr w:type="spellStart"/>
            <w:r w:rsidRPr="004D5B18">
              <w:rPr>
                <w:rFonts w:eastAsia="Arial Unicode MS"/>
                <w:i/>
                <w:szCs w:val="24"/>
              </w:rPr>
              <w:t>euro</w:t>
            </w:r>
            <w:proofErr w:type="spellEnd"/>
            <w:r w:rsidR="00D16059" w:rsidRPr="00732BC8">
              <w:rPr>
                <w:rFonts w:eastAsia="Arial Unicode MS"/>
                <w:szCs w:val="24"/>
              </w:rPr>
              <w:t>”</w:t>
            </w:r>
            <w:r w:rsidR="00B36359" w:rsidRPr="00732BC8">
              <w:rPr>
                <w:rFonts w:eastAsia="Arial Unicode MS"/>
                <w:szCs w:val="24"/>
              </w:rPr>
              <w:t xml:space="preserve"> un papildināt noteikumus ar jaunu punktu par pārskata sagatavošanu par 2013.gadu</w:t>
            </w:r>
            <w:r w:rsidR="00D16059" w:rsidRPr="00732BC8">
              <w:rPr>
                <w:rFonts w:eastAsia="Arial Unicode MS"/>
                <w:szCs w:val="24"/>
              </w:rPr>
              <w:t>.</w:t>
            </w:r>
          </w:p>
        </w:tc>
      </w:tr>
      <w:tr w:rsidR="00D16059" w:rsidRPr="005B4042" w:rsidTr="00954092"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5.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351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Projekts šo jomu neskar.</w:t>
            </w:r>
          </w:p>
        </w:tc>
      </w:tr>
      <w:tr w:rsidR="00D16059" w:rsidRPr="005B4042" w:rsidTr="00954092"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6.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 xml:space="preserve">Iemesli, kādēļ netika </w:t>
            </w:r>
            <w:r w:rsidRPr="00732BC8">
              <w:rPr>
                <w:rFonts w:eastAsia="Times New Roman"/>
                <w:szCs w:val="24"/>
                <w:lang w:eastAsia="lv-LV"/>
              </w:rPr>
              <w:lastRenderedPageBreak/>
              <w:t>nodrošināta sabiedrības līdzdalība</w:t>
            </w:r>
          </w:p>
        </w:tc>
        <w:tc>
          <w:tcPr>
            <w:tcW w:w="5351" w:type="dxa"/>
          </w:tcPr>
          <w:p w:rsidR="00D16059" w:rsidRPr="00732BC8" w:rsidRDefault="00D16059" w:rsidP="009B3CCD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iCs/>
                <w:szCs w:val="24"/>
                <w:lang w:eastAsia="lv-LV"/>
              </w:rPr>
              <w:lastRenderedPageBreak/>
              <w:t xml:space="preserve">Sabiedrības līdzdalība </w:t>
            </w:r>
            <w:r w:rsidR="009B3CCD" w:rsidRPr="00732BC8">
              <w:rPr>
                <w:rFonts w:eastAsia="Times New Roman"/>
                <w:iCs/>
                <w:szCs w:val="24"/>
                <w:lang w:eastAsia="lv-LV"/>
              </w:rPr>
              <w:t>noteikumu</w:t>
            </w:r>
            <w:r w:rsidRPr="00732BC8">
              <w:rPr>
                <w:rFonts w:eastAsia="Times New Roman"/>
                <w:iCs/>
                <w:szCs w:val="24"/>
                <w:lang w:eastAsia="lv-LV"/>
              </w:rPr>
              <w:t xml:space="preserve"> projekta izstrādes </w:t>
            </w:r>
            <w:r w:rsidRPr="00732BC8">
              <w:rPr>
                <w:rFonts w:eastAsia="Times New Roman"/>
                <w:iCs/>
                <w:szCs w:val="24"/>
                <w:lang w:eastAsia="lv-LV"/>
              </w:rPr>
              <w:lastRenderedPageBreak/>
              <w:t xml:space="preserve">gaitā nebija nepieciešama, jo tie ir tehniski grozījumi un sabiedrību neietekmē. </w:t>
            </w:r>
          </w:p>
        </w:tc>
      </w:tr>
      <w:tr w:rsidR="00D16059" w:rsidRPr="005B4042" w:rsidTr="00954092">
        <w:tc>
          <w:tcPr>
            <w:tcW w:w="64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3288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351" w:type="dxa"/>
          </w:tcPr>
          <w:p w:rsidR="00D16059" w:rsidRPr="00732BC8" w:rsidRDefault="00D16059" w:rsidP="00954092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Nav.</w:t>
            </w:r>
          </w:p>
        </w:tc>
      </w:tr>
    </w:tbl>
    <w:p w:rsidR="00D16059" w:rsidRPr="00732BC8" w:rsidRDefault="00D16059" w:rsidP="00D16059">
      <w:pPr>
        <w:jc w:val="both"/>
        <w:rPr>
          <w:rFonts w:eastAsia="Times New Roman"/>
          <w:szCs w:val="24"/>
          <w:lang w:eastAsia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266A8" w:rsidRPr="005B4042" w:rsidTr="00B266A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8" w:rsidRDefault="00B266A8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szCs w:val="24"/>
                <w:lang w:eastAsia="lv-LV"/>
              </w:rPr>
              <w:t>II. Tiesību akta projekta ietekme uz sabiedrību</w:t>
            </w:r>
          </w:p>
        </w:tc>
      </w:tr>
      <w:tr w:rsidR="00B266A8" w:rsidRPr="005B4042" w:rsidTr="00B266A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8" w:rsidRDefault="00B266A8">
            <w:pPr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>
              <w:rPr>
                <w:rFonts w:eastAsia="Times New Roman"/>
                <w:bCs/>
                <w:szCs w:val="24"/>
                <w:lang w:eastAsia="lv-LV"/>
              </w:rPr>
              <w:t>Projekts nerada ietekmi uz sabiedrību, jo nemaina spēkā esošo tiesisko regulējumu pēc būtības.</w:t>
            </w:r>
          </w:p>
        </w:tc>
      </w:tr>
    </w:tbl>
    <w:p w:rsidR="00B266A8" w:rsidRDefault="00B266A8" w:rsidP="00B266A8">
      <w:pPr>
        <w:jc w:val="both"/>
        <w:rPr>
          <w:rFonts w:eastAsia="Times New Roman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386"/>
      </w:tblGrid>
      <w:tr w:rsidR="00D16059" w:rsidRPr="005B4042" w:rsidTr="00954092">
        <w:tc>
          <w:tcPr>
            <w:tcW w:w="9322" w:type="dxa"/>
            <w:gridSpan w:val="3"/>
            <w:shd w:val="clear" w:color="auto" w:fill="auto"/>
          </w:tcPr>
          <w:p w:rsidR="00D16059" w:rsidRPr="00732BC8" w:rsidRDefault="00D16059" w:rsidP="00954092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b/>
                <w:bCs/>
                <w:szCs w:val="24"/>
                <w:lang w:eastAsia="lv-LV"/>
              </w:rPr>
              <w:t> VII. Tiesību akta projekta izpildes nodrošināšana un tās ietekme uz institūcijām</w:t>
            </w:r>
          </w:p>
        </w:tc>
      </w:tr>
      <w:tr w:rsidR="00D16059" w:rsidRPr="005B4042" w:rsidTr="00954092">
        <w:trPr>
          <w:trHeight w:val="427"/>
        </w:trPr>
        <w:tc>
          <w:tcPr>
            <w:tcW w:w="534" w:type="dxa"/>
            <w:shd w:val="clear" w:color="auto" w:fill="auto"/>
          </w:tcPr>
          <w:p w:rsidR="00D16059" w:rsidRPr="00732BC8" w:rsidRDefault="00D16059" w:rsidP="00954092">
            <w:pPr>
              <w:numPr>
                <w:ilvl w:val="0"/>
                <w:numId w:val="1"/>
              </w:numPr>
              <w:tabs>
                <w:tab w:val="left" w:pos="57"/>
                <w:tab w:val="left" w:pos="225"/>
              </w:tabs>
              <w:jc w:val="both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86" w:type="dxa"/>
            <w:shd w:val="clear" w:color="auto" w:fill="auto"/>
            <w:hideMark/>
          </w:tcPr>
          <w:p w:rsidR="00D16059" w:rsidRPr="00732BC8" w:rsidRDefault="00224B2E" w:rsidP="00954092">
            <w:pPr>
              <w:ind w:right="127"/>
              <w:jc w:val="both"/>
              <w:rPr>
                <w:rFonts w:eastAsia="Times New Roman"/>
                <w:szCs w:val="24"/>
                <w:lang w:eastAsia="lv-LV"/>
              </w:rPr>
            </w:pPr>
            <w:r w:rsidRPr="00BD79FD">
              <w:rPr>
                <w:rFonts w:eastAsia="Times New Roman"/>
                <w:szCs w:val="24"/>
                <w:lang w:eastAsia="lv-LV"/>
              </w:rPr>
              <w:t xml:space="preserve">Ministrijas un citas centrālās valsts iestādes, </w:t>
            </w:r>
            <w:r w:rsidRPr="005B4042">
              <w:t>visas to padotībā esošās budžeta finansētās institūcijas, budžeta nefinansētas iestādes un pašvaldības</w:t>
            </w:r>
            <w:r w:rsidRPr="00BD79FD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="00D16059" w:rsidRPr="005B4042" w:rsidTr="00954092">
        <w:trPr>
          <w:trHeight w:val="463"/>
        </w:trPr>
        <w:tc>
          <w:tcPr>
            <w:tcW w:w="534" w:type="dxa"/>
            <w:shd w:val="clear" w:color="auto" w:fill="auto"/>
          </w:tcPr>
          <w:p w:rsidR="00D16059" w:rsidRPr="00732BC8" w:rsidRDefault="00D16059" w:rsidP="00954092">
            <w:pPr>
              <w:numPr>
                <w:ilvl w:val="0"/>
                <w:numId w:val="1"/>
              </w:num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5386" w:type="dxa"/>
            <w:shd w:val="clear" w:color="auto" w:fill="auto"/>
            <w:hideMark/>
          </w:tcPr>
          <w:p w:rsidR="00D16059" w:rsidRPr="005B4042" w:rsidRDefault="00D16059" w:rsidP="00954092">
            <w:pPr>
              <w:ind w:right="127"/>
              <w:jc w:val="both"/>
              <w:rPr>
                <w:szCs w:val="24"/>
              </w:rPr>
            </w:pPr>
            <w:r w:rsidRPr="005B4042">
              <w:rPr>
                <w:szCs w:val="24"/>
              </w:rPr>
              <w:t>Projekts šo jomu neskar.</w:t>
            </w:r>
          </w:p>
          <w:p w:rsidR="00D16059" w:rsidRPr="00732BC8" w:rsidRDefault="00D16059" w:rsidP="00954092">
            <w:pPr>
              <w:ind w:right="127"/>
              <w:jc w:val="both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16059" w:rsidRPr="005B4042" w:rsidTr="00954092">
        <w:trPr>
          <w:trHeight w:val="725"/>
        </w:trPr>
        <w:tc>
          <w:tcPr>
            <w:tcW w:w="534" w:type="dxa"/>
            <w:shd w:val="clear" w:color="auto" w:fill="auto"/>
          </w:tcPr>
          <w:p w:rsidR="00D16059" w:rsidRPr="00732BC8" w:rsidRDefault="00D16059" w:rsidP="00954092">
            <w:pPr>
              <w:numPr>
                <w:ilvl w:val="0"/>
                <w:numId w:val="1"/>
              </w:num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Projekta izpildes ietekme uz pārvaldes institucionālo struktūru.</w:t>
            </w:r>
          </w:p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Jaunu institūciju izveide</w:t>
            </w:r>
          </w:p>
        </w:tc>
        <w:tc>
          <w:tcPr>
            <w:tcW w:w="5386" w:type="dxa"/>
            <w:shd w:val="clear" w:color="auto" w:fill="auto"/>
            <w:hideMark/>
          </w:tcPr>
          <w:p w:rsidR="00D16059" w:rsidRPr="00732BC8" w:rsidRDefault="00D16059" w:rsidP="00954092">
            <w:pPr>
              <w:ind w:right="127"/>
              <w:jc w:val="both"/>
              <w:rPr>
                <w:rFonts w:eastAsia="Times New Roman"/>
                <w:szCs w:val="24"/>
                <w:lang w:eastAsia="lv-LV"/>
              </w:rPr>
            </w:pPr>
            <w:r w:rsidRPr="005B4042">
              <w:rPr>
                <w:szCs w:val="24"/>
              </w:rPr>
              <w:t>Projekts šo jomu neskar.</w:t>
            </w:r>
          </w:p>
        </w:tc>
      </w:tr>
      <w:tr w:rsidR="00D16059" w:rsidRPr="005B4042" w:rsidTr="00954092">
        <w:trPr>
          <w:trHeight w:val="780"/>
        </w:trPr>
        <w:tc>
          <w:tcPr>
            <w:tcW w:w="534" w:type="dxa"/>
            <w:shd w:val="clear" w:color="auto" w:fill="auto"/>
          </w:tcPr>
          <w:p w:rsidR="00D16059" w:rsidRPr="00732BC8" w:rsidRDefault="00D16059" w:rsidP="00954092">
            <w:pPr>
              <w:numPr>
                <w:ilvl w:val="0"/>
                <w:numId w:val="1"/>
              </w:num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Projekta izpildes ietekme uz pārvaldes institucionālo struktūru.</w:t>
            </w:r>
          </w:p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Esošu institūciju likvidācija</w:t>
            </w:r>
          </w:p>
        </w:tc>
        <w:tc>
          <w:tcPr>
            <w:tcW w:w="5386" w:type="dxa"/>
            <w:shd w:val="clear" w:color="auto" w:fill="auto"/>
            <w:hideMark/>
          </w:tcPr>
          <w:p w:rsidR="00D16059" w:rsidRPr="00732BC8" w:rsidRDefault="00D16059" w:rsidP="00954092">
            <w:pPr>
              <w:ind w:right="127"/>
              <w:rPr>
                <w:rFonts w:eastAsia="Times New Roman"/>
                <w:szCs w:val="24"/>
                <w:highlight w:val="green"/>
                <w:lang w:eastAsia="lv-LV"/>
              </w:rPr>
            </w:pPr>
            <w:r w:rsidRPr="005B4042">
              <w:rPr>
                <w:szCs w:val="24"/>
              </w:rPr>
              <w:t>Projekts šo jomu neskar.</w:t>
            </w:r>
          </w:p>
        </w:tc>
      </w:tr>
      <w:tr w:rsidR="00D16059" w:rsidRPr="005B4042" w:rsidTr="00954092">
        <w:trPr>
          <w:trHeight w:val="703"/>
        </w:trPr>
        <w:tc>
          <w:tcPr>
            <w:tcW w:w="534" w:type="dxa"/>
            <w:shd w:val="clear" w:color="auto" w:fill="auto"/>
          </w:tcPr>
          <w:p w:rsidR="00D16059" w:rsidRPr="00732BC8" w:rsidRDefault="00D16059" w:rsidP="00954092">
            <w:pPr>
              <w:numPr>
                <w:ilvl w:val="0"/>
                <w:numId w:val="1"/>
              </w:num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Projekta izpildes ietekme uz pārvaldes institucionālo struktūru.</w:t>
            </w:r>
          </w:p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5386" w:type="dxa"/>
            <w:shd w:val="clear" w:color="auto" w:fill="auto"/>
            <w:hideMark/>
          </w:tcPr>
          <w:p w:rsidR="00D16059" w:rsidRPr="00732BC8" w:rsidRDefault="00D16059" w:rsidP="00954092">
            <w:pPr>
              <w:ind w:right="127"/>
              <w:rPr>
                <w:rFonts w:eastAsia="Times New Roman"/>
                <w:szCs w:val="24"/>
                <w:lang w:eastAsia="lv-LV"/>
              </w:rPr>
            </w:pPr>
            <w:r w:rsidRPr="005B4042">
              <w:rPr>
                <w:szCs w:val="24"/>
              </w:rPr>
              <w:t>Projekts šo jomu neskar.</w:t>
            </w:r>
          </w:p>
        </w:tc>
      </w:tr>
      <w:tr w:rsidR="00D16059" w:rsidRPr="005B4042" w:rsidTr="00954092">
        <w:trPr>
          <w:trHeight w:val="267"/>
        </w:trPr>
        <w:tc>
          <w:tcPr>
            <w:tcW w:w="534" w:type="dxa"/>
            <w:shd w:val="clear" w:color="auto" w:fill="auto"/>
          </w:tcPr>
          <w:p w:rsidR="00D16059" w:rsidRPr="00732BC8" w:rsidRDefault="00D16059" w:rsidP="00954092">
            <w:pPr>
              <w:numPr>
                <w:ilvl w:val="0"/>
                <w:numId w:val="1"/>
              </w:num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16059" w:rsidRPr="00732BC8" w:rsidRDefault="00D16059" w:rsidP="00954092">
            <w:pPr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 Cita informācija</w:t>
            </w:r>
          </w:p>
        </w:tc>
        <w:tc>
          <w:tcPr>
            <w:tcW w:w="5386" w:type="dxa"/>
            <w:shd w:val="clear" w:color="auto" w:fill="auto"/>
            <w:hideMark/>
          </w:tcPr>
          <w:p w:rsidR="00D16059" w:rsidRPr="00732BC8" w:rsidRDefault="00D16059" w:rsidP="00954092">
            <w:pPr>
              <w:ind w:right="127"/>
              <w:jc w:val="both"/>
              <w:rPr>
                <w:rFonts w:eastAsia="Times New Roman"/>
                <w:szCs w:val="24"/>
                <w:lang w:eastAsia="lv-LV"/>
              </w:rPr>
            </w:pPr>
            <w:r w:rsidRPr="00732BC8">
              <w:rPr>
                <w:rFonts w:eastAsia="Times New Roman"/>
                <w:szCs w:val="24"/>
                <w:lang w:eastAsia="lv-LV"/>
              </w:rPr>
              <w:t>Nav.</w:t>
            </w:r>
          </w:p>
        </w:tc>
      </w:tr>
    </w:tbl>
    <w:p w:rsidR="00D16059" w:rsidRDefault="00D16059" w:rsidP="00D16059">
      <w:pPr>
        <w:jc w:val="both"/>
        <w:rPr>
          <w:rFonts w:eastAsia="Times New Roman"/>
          <w:szCs w:val="24"/>
          <w:lang w:eastAsia="lv-LV"/>
        </w:rPr>
      </w:pPr>
    </w:p>
    <w:p w:rsidR="00B7486F" w:rsidRPr="00B7486F" w:rsidRDefault="00B7486F" w:rsidP="00B7486F">
      <w:pPr>
        <w:jc w:val="both"/>
        <w:rPr>
          <w:rFonts w:eastAsia="Times New Roman"/>
          <w:i/>
          <w:szCs w:val="24"/>
          <w:lang w:eastAsia="lv-LV"/>
        </w:rPr>
      </w:pPr>
      <w:r w:rsidRPr="00B7486F">
        <w:rPr>
          <w:rFonts w:eastAsia="Times New Roman"/>
          <w:i/>
          <w:szCs w:val="24"/>
          <w:lang w:eastAsia="lv-LV"/>
        </w:rPr>
        <w:t>Anotācijas III, IV, V un VI sadaļa –  projekts šīs jomas neskar.</w:t>
      </w:r>
    </w:p>
    <w:p w:rsidR="00B7486F" w:rsidRDefault="00B7486F" w:rsidP="00D16059">
      <w:pPr>
        <w:jc w:val="both"/>
        <w:rPr>
          <w:rFonts w:eastAsia="Times New Roman"/>
          <w:szCs w:val="24"/>
          <w:lang w:eastAsia="lv-LV"/>
        </w:rPr>
      </w:pPr>
    </w:p>
    <w:p w:rsidR="00B7486F" w:rsidRPr="00732BC8" w:rsidRDefault="00B7486F" w:rsidP="00D16059">
      <w:pPr>
        <w:jc w:val="both"/>
        <w:rPr>
          <w:rFonts w:eastAsia="Times New Roman"/>
          <w:szCs w:val="24"/>
          <w:lang w:eastAsia="lv-LV"/>
        </w:rPr>
      </w:pPr>
    </w:p>
    <w:p w:rsidR="00D16059" w:rsidRPr="00732BC8" w:rsidRDefault="00D16059" w:rsidP="00D16059">
      <w:pPr>
        <w:jc w:val="both"/>
        <w:rPr>
          <w:rFonts w:eastAsia="Times New Roman"/>
          <w:szCs w:val="24"/>
          <w:lang w:eastAsia="lv-LV"/>
        </w:rPr>
      </w:pPr>
      <w:r w:rsidRPr="00732BC8">
        <w:rPr>
          <w:rFonts w:eastAsia="Times New Roman"/>
          <w:szCs w:val="24"/>
          <w:lang w:eastAsia="lv-LV"/>
        </w:rPr>
        <w:t xml:space="preserve">              Finanšu ministrs</w:t>
      </w:r>
      <w:r w:rsidRPr="00732BC8">
        <w:rPr>
          <w:rFonts w:eastAsia="Times New Roman"/>
          <w:szCs w:val="24"/>
          <w:lang w:eastAsia="lv-LV"/>
        </w:rPr>
        <w:tab/>
      </w:r>
      <w:r w:rsidRPr="00732BC8">
        <w:rPr>
          <w:rFonts w:eastAsia="Times New Roman"/>
          <w:szCs w:val="24"/>
          <w:lang w:eastAsia="lv-LV"/>
        </w:rPr>
        <w:tab/>
      </w:r>
      <w:r w:rsidRPr="00732BC8">
        <w:rPr>
          <w:rFonts w:eastAsia="Times New Roman"/>
          <w:szCs w:val="24"/>
          <w:lang w:eastAsia="lv-LV"/>
        </w:rPr>
        <w:tab/>
      </w:r>
      <w:r w:rsidRPr="00732BC8">
        <w:rPr>
          <w:rFonts w:eastAsia="Times New Roman"/>
          <w:szCs w:val="24"/>
          <w:lang w:eastAsia="lv-LV"/>
        </w:rPr>
        <w:tab/>
      </w:r>
      <w:r w:rsidRPr="00732BC8">
        <w:rPr>
          <w:rFonts w:eastAsia="Times New Roman"/>
          <w:szCs w:val="24"/>
          <w:lang w:eastAsia="lv-LV"/>
        </w:rPr>
        <w:tab/>
      </w:r>
      <w:r w:rsidRPr="00732BC8">
        <w:rPr>
          <w:rFonts w:eastAsia="Times New Roman"/>
          <w:szCs w:val="24"/>
          <w:lang w:eastAsia="lv-LV"/>
        </w:rPr>
        <w:tab/>
        <w:t xml:space="preserve">     </w:t>
      </w:r>
      <w:r w:rsidRPr="00732BC8">
        <w:rPr>
          <w:rFonts w:eastAsia="Times New Roman"/>
          <w:bCs/>
          <w:szCs w:val="24"/>
          <w:lang w:eastAsia="lv-LV"/>
        </w:rPr>
        <w:t>A.Vilks</w:t>
      </w:r>
    </w:p>
    <w:p w:rsidR="00732BC8" w:rsidRDefault="00732BC8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732BC8" w:rsidRDefault="00732BC8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B7486F" w:rsidRDefault="00B7486F" w:rsidP="00D16059">
      <w:pPr>
        <w:tabs>
          <w:tab w:val="center" w:pos="4153"/>
          <w:tab w:val="right" w:pos="8306"/>
        </w:tabs>
        <w:rPr>
          <w:rFonts w:eastAsia="Times New Roman"/>
          <w:sz w:val="16"/>
          <w:szCs w:val="16"/>
          <w:lang w:eastAsia="lv-LV"/>
        </w:rPr>
      </w:pPr>
    </w:p>
    <w:p w:rsidR="00A00883" w:rsidRDefault="002D292D" w:rsidP="00D16059">
      <w:pPr>
        <w:rPr>
          <w:sz w:val="16"/>
          <w:szCs w:val="16"/>
        </w:rPr>
      </w:pPr>
      <w:r>
        <w:rPr>
          <w:sz w:val="16"/>
          <w:szCs w:val="16"/>
        </w:rPr>
        <w:t>09.08</w:t>
      </w:r>
      <w:r w:rsidR="00A00883">
        <w:rPr>
          <w:sz w:val="16"/>
          <w:szCs w:val="16"/>
        </w:rPr>
        <w:t>.2013 14:50</w:t>
      </w:r>
    </w:p>
    <w:p w:rsidR="00D16059" w:rsidRPr="00732BC8" w:rsidRDefault="00D16059" w:rsidP="00D16059">
      <w:pPr>
        <w:rPr>
          <w:sz w:val="16"/>
          <w:szCs w:val="16"/>
        </w:rPr>
      </w:pPr>
      <w:r w:rsidRPr="00732BC8">
        <w:rPr>
          <w:sz w:val="16"/>
          <w:szCs w:val="16"/>
        </w:rPr>
        <w:fldChar w:fldCharType="begin"/>
      </w:r>
      <w:r w:rsidRPr="00732BC8">
        <w:rPr>
          <w:sz w:val="16"/>
          <w:szCs w:val="16"/>
        </w:rPr>
        <w:instrText xml:space="preserve"> NUMWORDS   \* MERGEFORMAT </w:instrText>
      </w:r>
      <w:r w:rsidRPr="00732BC8">
        <w:rPr>
          <w:sz w:val="16"/>
          <w:szCs w:val="16"/>
        </w:rPr>
        <w:fldChar w:fldCharType="separate"/>
      </w:r>
      <w:r w:rsidR="00ED093A">
        <w:rPr>
          <w:noProof/>
          <w:sz w:val="16"/>
          <w:szCs w:val="16"/>
        </w:rPr>
        <w:t>489</w:t>
      </w:r>
      <w:r w:rsidRPr="00732BC8">
        <w:rPr>
          <w:sz w:val="16"/>
          <w:szCs w:val="16"/>
        </w:rPr>
        <w:fldChar w:fldCharType="end"/>
      </w:r>
      <w:bookmarkStart w:id="1" w:name="_GoBack"/>
      <w:bookmarkEnd w:id="1"/>
    </w:p>
    <w:p w:rsidR="00D16059" w:rsidRPr="00732BC8" w:rsidRDefault="00D16059" w:rsidP="00D16059">
      <w:pPr>
        <w:rPr>
          <w:sz w:val="16"/>
          <w:szCs w:val="16"/>
        </w:rPr>
      </w:pPr>
      <w:proofErr w:type="spellStart"/>
      <w:r w:rsidRPr="00732BC8">
        <w:rPr>
          <w:sz w:val="16"/>
          <w:szCs w:val="16"/>
        </w:rPr>
        <w:t>O.Gutmane</w:t>
      </w:r>
      <w:proofErr w:type="spellEnd"/>
    </w:p>
    <w:p w:rsidR="008A246E" w:rsidRPr="00732BC8" w:rsidRDefault="00D16059">
      <w:pPr>
        <w:rPr>
          <w:sz w:val="22"/>
        </w:rPr>
      </w:pPr>
      <w:r w:rsidRPr="00732BC8">
        <w:rPr>
          <w:sz w:val="16"/>
          <w:szCs w:val="16"/>
        </w:rPr>
        <w:t xml:space="preserve">t.67095531; </w:t>
      </w:r>
      <w:hyperlink r:id="rId9" w:history="1">
        <w:r w:rsidRPr="00732BC8">
          <w:rPr>
            <w:rStyle w:val="Hyperlink"/>
            <w:sz w:val="16"/>
            <w:szCs w:val="16"/>
          </w:rPr>
          <w:t>olga.gutmane@fm.gov.lv</w:t>
        </w:r>
      </w:hyperlink>
      <w:r w:rsidRPr="00732BC8">
        <w:rPr>
          <w:sz w:val="16"/>
          <w:szCs w:val="16"/>
        </w:rPr>
        <w:t xml:space="preserve"> </w:t>
      </w:r>
    </w:p>
    <w:sectPr w:rsidR="008A246E" w:rsidRPr="00732BC8" w:rsidSect="00224B2E">
      <w:headerReference w:type="default" r:id="rId10"/>
      <w:footerReference w:type="default" r:id="rId11"/>
      <w:footerReference w:type="first" r:id="rId12"/>
      <w:pgSz w:w="11906" w:h="16838" w:code="9"/>
      <w:pgMar w:top="56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9D" w:rsidRDefault="00A7679D" w:rsidP="00D16059">
      <w:r>
        <w:separator/>
      </w:r>
    </w:p>
  </w:endnote>
  <w:endnote w:type="continuationSeparator" w:id="0">
    <w:p w:rsidR="00A7679D" w:rsidRDefault="00A7679D" w:rsidP="00D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59" w:rsidRPr="00B10161" w:rsidRDefault="00D16059" w:rsidP="00D16059">
    <w:pPr>
      <w:jc w:val="both"/>
      <w:rPr>
        <w:rFonts w:eastAsia="Times New Roman"/>
        <w:sz w:val="18"/>
        <w:szCs w:val="18"/>
        <w:lang w:eastAsia="lv-LV"/>
      </w:rPr>
    </w:pPr>
    <w:r w:rsidRPr="00F42709">
      <w:rPr>
        <w:sz w:val="18"/>
        <w:szCs w:val="18"/>
      </w:rPr>
      <w:fldChar w:fldCharType="begin"/>
    </w:r>
    <w:r w:rsidRPr="00F42709">
      <w:rPr>
        <w:sz w:val="18"/>
        <w:szCs w:val="18"/>
      </w:rPr>
      <w:instrText xml:space="preserve"> FILENAME   \* MERGEFORMAT </w:instrText>
    </w:r>
    <w:r w:rsidRPr="00F42709">
      <w:rPr>
        <w:sz w:val="18"/>
        <w:szCs w:val="18"/>
      </w:rPr>
      <w:fldChar w:fldCharType="separate"/>
    </w:r>
    <w:r w:rsidR="00E37480">
      <w:rPr>
        <w:noProof/>
        <w:sz w:val="18"/>
        <w:szCs w:val="18"/>
      </w:rPr>
      <w:t>FMAnot_250613_Nr 413_euro</w:t>
    </w:r>
    <w:r w:rsidRPr="00F42709">
      <w:rPr>
        <w:noProof/>
        <w:sz w:val="18"/>
        <w:szCs w:val="18"/>
      </w:rPr>
      <w:fldChar w:fldCharType="end"/>
    </w:r>
    <w:r>
      <w:rPr>
        <w:sz w:val="18"/>
        <w:szCs w:val="18"/>
      </w:rPr>
      <w:t>; Ministru kabineta noteikumu</w:t>
    </w:r>
    <w:r w:rsidRPr="0079731A">
      <w:rPr>
        <w:sz w:val="18"/>
        <w:szCs w:val="18"/>
      </w:rPr>
      <w:t xml:space="preserve"> projekts </w:t>
    </w:r>
    <w:r>
      <w:rPr>
        <w:sz w:val="18"/>
        <w:szCs w:val="18"/>
      </w:rPr>
      <w:t>„</w:t>
    </w:r>
    <w:r w:rsidRPr="00B10161">
      <w:rPr>
        <w:bCs/>
        <w:sz w:val="18"/>
        <w:szCs w:val="18"/>
      </w:rPr>
      <w:t xml:space="preserve">Grozījumi </w:t>
    </w:r>
    <w:r>
      <w:rPr>
        <w:bCs/>
        <w:sz w:val="18"/>
        <w:szCs w:val="18"/>
      </w:rPr>
      <w:t>Ministru kabineta 2010.gada 5.maija noteikumos Nr.413</w:t>
    </w:r>
    <w:r w:rsidRPr="00B10161">
      <w:rPr>
        <w:bCs/>
        <w:sz w:val="18"/>
        <w:szCs w:val="18"/>
      </w:rPr>
      <w:t xml:space="preserve"> „</w:t>
    </w:r>
    <w:r>
      <w:rPr>
        <w:bCs/>
        <w:sz w:val="18"/>
        <w:szCs w:val="18"/>
      </w:rPr>
      <w:t>Noteikumi par gada publiskajiem pārskatiem</w:t>
    </w:r>
    <w:r w:rsidRPr="00B10161">
      <w:rPr>
        <w:bCs/>
        <w:sz w:val="18"/>
        <w:szCs w:val="18"/>
      </w:rPr>
      <w:t>”</w:t>
    </w:r>
    <w:r>
      <w:rPr>
        <w:bCs/>
        <w:sz w:val="18"/>
        <w:szCs w:val="18"/>
      </w:rPr>
      <w:t>”</w:t>
    </w:r>
    <w:r w:rsidRPr="00D16059">
      <w:rPr>
        <w:bCs/>
        <w:sz w:val="18"/>
        <w:szCs w:val="18"/>
      </w:rPr>
      <w:t xml:space="preserve"> </w:t>
    </w:r>
    <w:r w:rsidRPr="00970B06">
      <w:rPr>
        <w:bCs/>
        <w:sz w:val="18"/>
        <w:szCs w:val="18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92" w:rsidRPr="006A0A51" w:rsidRDefault="00E04FCC" w:rsidP="00E04FCC">
    <w:pPr>
      <w:jc w:val="both"/>
    </w:pPr>
    <w:r w:rsidRPr="00F42709">
      <w:rPr>
        <w:sz w:val="18"/>
        <w:szCs w:val="18"/>
      </w:rPr>
      <w:fldChar w:fldCharType="begin"/>
    </w:r>
    <w:r w:rsidRPr="00F42709">
      <w:rPr>
        <w:sz w:val="18"/>
        <w:szCs w:val="18"/>
      </w:rPr>
      <w:instrText xml:space="preserve"> FILENAME   \* MERGEFORMAT </w:instrText>
    </w:r>
    <w:r w:rsidRPr="00F42709">
      <w:rPr>
        <w:sz w:val="18"/>
        <w:szCs w:val="18"/>
      </w:rPr>
      <w:fldChar w:fldCharType="separate"/>
    </w:r>
    <w:r w:rsidR="00E37480">
      <w:rPr>
        <w:noProof/>
        <w:sz w:val="18"/>
        <w:szCs w:val="18"/>
      </w:rPr>
      <w:t>FMAnot_250613_Nr 413_euro</w:t>
    </w:r>
    <w:r w:rsidRPr="00F42709">
      <w:rPr>
        <w:noProof/>
        <w:sz w:val="18"/>
        <w:szCs w:val="18"/>
      </w:rPr>
      <w:fldChar w:fldCharType="end"/>
    </w:r>
    <w:r>
      <w:rPr>
        <w:sz w:val="18"/>
        <w:szCs w:val="18"/>
      </w:rPr>
      <w:t>; Ministru kabineta noteikumu</w:t>
    </w:r>
    <w:r w:rsidRPr="0079731A">
      <w:rPr>
        <w:sz w:val="18"/>
        <w:szCs w:val="18"/>
      </w:rPr>
      <w:t xml:space="preserve"> projekts </w:t>
    </w:r>
    <w:r>
      <w:rPr>
        <w:sz w:val="18"/>
        <w:szCs w:val="18"/>
      </w:rPr>
      <w:t>„</w:t>
    </w:r>
    <w:r w:rsidRPr="00B10161">
      <w:rPr>
        <w:bCs/>
        <w:sz w:val="18"/>
        <w:szCs w:val="18"/>
      </w:rPr>
      <w:t xml:space="preserve">Grozījumi </w:t>
    </w:r>
    <w:r>
      <w:rPr>
        <w:bCs/>
        <w:sz w:val="18"/>
        <w:szCs w:val="18"/>
      </w:rPr>
      <w:t>Ministru kabineta 2010.gada 5.maija noteikumos Nr.413</w:t>
    </w:r>
    <w:r w:rsidRPr="00B10161">
      <w:rPr>
        <w:bCs/>
        <w:sz w:val="18"/>
        <w:szCs w:val="18"/>
      </w:rPr>
      <w:t xml:space="preserve"> „</w:t>
    </w:r>
    <w:r>
      <w:rPr>
        <w:bCs/>
        <w:sz w:val="18"/>
        <w:szCs w:val="18"/>
      </w:rPr>
      <w:t>Noteikumi par gada publiskajiem pārskatiem</w:t>
    </w:r>
    <w:r w:rsidRPr="00B10161">
      <w:rPr>
        <w:bCs/>
        <w:sz w:val="18"/>
        <w:szCs w:val="18"/>
      </w:rPr>
      <w:t>”</w:t>
    </w:r>
    <w:r>
      <w:rPr>
        <w:bCs/>
        <w:sz w:val="18"/>
        <w:szCs w:val="18"/>
      </w:rPr>
      <w:t>”</w:t>
    </w:r>
    <w:r w:rsidRPr="00D16059">
      <w:rPr>
        <w:bCs/>
        <w:sz w:val="18"/>
        <w:szCs w:val="18"/>
      </w:rPr>
      <w:t xml:space="preserve"> </w:t>
    </w:r>
    <w:r w:rsidRPr="00970B06">
      <w:rPr>
        <w:bCs/>
        <w:sz w:val="18"/>
        <w:szCs w:val="18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9D" w:rsidRDefault="00A7679D" w:rsidP="00D16059">
      <w:r>
        <w:separator/>
      </w:r>
    </w:p>
  </w:footnote>
  <w:footnote w:type="continuationSeparator" w:id="0">
    <w:p w:rsidR="00A7679D" w:rsidRDefault="00A7679D" w:rsidP="00D1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92" w:rsidRDefault="00A91BD3" w:rsidP="0095409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093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A89"/>
    <w:multiLevelType w:val="hybridMultilevel"/>
    <w:tmpl w:val="C95ED8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9"/>
    <w:rsid w:val="00013ECD"/>
    <w:rsid w:val="000E0CE8"/>
    <w:rsid w:val="001B0151"/>
    <w:rsid w:val="00224B2E"/>
    <w:rsid w:val="00250C78"/>
    <w:rsid w:val="00253A32"/>
    <w:rsid w:val="002C0EC8"/>
    <w:rsid w:val="002D292D"/>
    <w:rsid w:val="00325B6D"/>
    <w:rsid w:val="003731B5"/>
    <w:rsid w:val="00454B2B"/>
    <w:rsid w:val="004D5B18"/>
    <w:rsid w:val="00505B2F"/>
    <w:rsid w:val="00523F3C"/>
    <w:rsid w:val="00564CD9"/>
    <w:rsid w:val="005B4042"/>
    <w:rsid w:val="005C0481"/>
    <w:rsid w:val="005C2D74"/>
    <w:rsid w:val="006566AF"/>
    <w:rsid w:val="00732BC8"/>
    <w:rsid w:val="00793F15"/>
    <w:rsid w:val="007A6B24"/>
    <w:rsid w:val="008870AA"/>
    <w:rsid w:val="008A246E"/>
    <w:rsid w:val="008B5712"/>
    <w:rsid w:val="00954092"/>
    <w:rsid w:val="009B3CCD"/>
    <w:rsid w:val="009E64BB"/>
    <w:rsid w:val="00A00883"/>
    <w:rsid w:val="00A31E4A"/>
    <w:rsid w:val="00A61658"/>
    <w:rsid w:val="00A7679D"/>
    <w:rsid w:val="00A91BD3"/>
    <w:rsid w:val="00AD3721"/>
    <w:rsid w:val="00B266A8"/>
    <w:rsid w:val="00B36359"/>
    <w:rsid w:val="00B7486F"/>
    <w:rsid w:val="00BD79FD"/>
    <w:rsid w:val="00C257BF"/>
    <w:rsid w:val="00C67951"/>
    <w:rsid w:val="00C9782D"/>
    <w:rsid w:val="00D16059"/>
    <w:rsid w:val="00D17FD8"/>
    <w:rsid w:val="00DD49E3"/>
    <w:rsid w:val="00E04FCC"/>
    <w:rsid w:val="00E31ED7"/>
    <w:rsid w:val="00E37480"/>
    <w:rsid w:val="00ED093A"/>
    <w:rsid w:val="00F13E72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CC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059"/>
    <w:pPr>
      <w:tabs>
        <w:tab w:val="center" w:pos="4153"/>
        <w:tab w:val="right" w:pos="8306"/>
      </w:tabs>
    </w:pPr>
    <w:rPr>
      <w:rFonts w:eastAsia="Times New Roman"/>
      <w:szCs w:val="24"/>
      <w:lang w:eastAsia="lv-LV"/>
    </w:rPr>
  </w:style>
  <w:style w:type="character" w:customStyle="1" w:styleId="HeaderChar">
    <w:name w:val="Header Char"/>
    <w:link w:val="Header"/>
    <w:rsid w:val="00D16059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16059"/>
  </w:style>
  <w:style w:type="paragraph" w:styleId="Footer">
    <w:name w:val="footer"/>
    <w:basedOn w:val="Normal"/>
    <w:link w:val="FooterChar"/>
    <w:uiPriority w:val="99"/>
    <w:unhideWhenUsed/>
    <w:rsid w:val="00D160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6059"/>
    <w:rPr>
      <w:sz w:val="24"/>
    </w:rPr>
  </w:style>
  <w:style w:type="character" w:styleId="Hyperlink">
    <w:name w:val="Hyperlink"/>
    <w:uiPriority w:val="99"/>
    <w:unhideWhenUsed/>
    <w:rsid w:val="00D16059"/>
    <w:rPr>
      <w:color w:val="0000FF"/>
      <w:u w:val="single"/>
    </w:rPr>
  </w:style>
  <w:style w:type="paragraph" w:customStyle="1" w:styleId="naisnod">
    <w:name w:val="naisnod"/>
    <w:basedOn w:val="Normal"/>
    <w:rsid w:val="009B3CCD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3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635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CC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059"/>
    <w:pPr>
      <w:tabs>
        <w:tab w:val="center" w:pos="4153"/>
        <w:tab w:val="right" w:pos="8306"/>
      </w:tabs>
    </w:pPr>
    <w:rPr>
      <w:rFonts w:eastAsia="Times New Roman"/>
      <w:szCs w:val="24"/>
      <w:lang w:eastAsia="lv-LV"/>
    </w:rPr>
  </w:style>
  <w:style w:type="character" w:customStyle="1" w:styleId="HeaderChar">
    <w:name w:val="Header Char"/>
    <w:link w:val="Header"/>
    <w:rsid w:val="00D16059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16059"/>
  </w:style>
  <w:style w:type="paragraph" w:styleId="Footer">
    <w:name w:val="footer"/>
    <w:basedOn w:val="Normal"/>
    <w:link w:val="FooterChar"/>
    <w:uiPriority w:val="99"/>
    <w:unhideWhenUsed/>
    <w:rsid w:val="00D160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6059"/>
    <w:rPr>
      <w:sz w:val="24"/>
    </w:rPr>
  </w:style>
  <w:style w:type="character" w:styleId="Hyperlink">
    <w:name w:val="Hyperlink"/>
    <w:uiPriority w:val="99"/>
    <w:unhideWhenUsed/>
    <w:rsid w:val="00D16059"/>
    <w:rPr>
      <w:color w:val="0000FF"/>
      <w:u w:val="single"/>
    </w:rPr>
  </w:style>
  <w:style w:type="paragraph" w:customStyle="1" w:styleId="naisnod">
    <w:name w:val="naisnod"/>
    <w:basedOn w:val="Normal"/>
    <w:rsid w:val="009B3CCD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3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635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.gutmane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A402-BD55-4130-994A-183195E1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3475</Characters>
  <Application>Microsoft Office Word</Application>
  <DocSecurity>0</DocSecurity>
  <Lines>139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MK noteikumu projekts „Grozījumi Ministru kabineta 2010.gada 5.maija noteikumos Nr.413 „Noteikumi par gada publiskiem pārskatiem””</vt:lpstr>
    </vt:vector>
  </TitlesOfParts>
  <Company>Finanšu ministrija</Company>
  <LinksUpToDate>false</LinksUpToDate>
  <CharactersWithSpaces>3915</CharactersWithSpaces>
  <SharedDoc>false</SharedDoc>
  <HLinks>
    <vt:vector size="6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mailto:olga.gutmane@fm.gov.lv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MK noteikumu projekts „Grozījumi Ministru kabineta 2010.gada 5.maija noteikumos Nr.413 „Noteikumi par gada publiskiem pārskatiem””</dc:title>
  <dc:subject>Anotācija</dc:subject>
  <dc:creator>O.Gutmane</dc:creator>
  <cp:keywords/>
  <dc:description>olga.gutmane@fm.gov.lv, 67095531</dc:description>
  <cp:lastModifiedBy>Finanšu Ministrija</cp:lastModifiedBy>
  <cp:revision>6</cp:revision>
  <cp:lastPrinted>2013-08-15T13:07:00Z</cp:lastPrinted>
  <dcterms:created xsi:type="dcterms:W3CDTF">2013-08-08T10:32:00Z</dcterms:created>
  <dcterms:modified xsi:type="dcterms:W3CDTF">2013-08-15T13:28:00Z</dcterms:modified>
</cp:coreProperties>
</file>